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7C" w:rsidRPr="00F2617C" w:rsidRDefault="00F2617C" w:rsidP="00F2617C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D74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Pr="00F261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становлен запрет на предъявление требований об оплате кредитной задолженности до момента вступления в наследство</w:t>
      </w:r>
    </w:p>
    <w:p w:rsidR="00F2617C" w:rsidRPr="00F2617C" w:rsidRDefault="00F2617C" w:rsidP="00F2617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2617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сентября 2025 года вступит в силу Федеральный закон от 23.07.2025 № 246-ФЗ, защищающий наследников от мер принудительного взыскания кредиторской задолженности, начисления штрафов (пени, неустойки) по договорам потребительского кредита (в том числе обеспеченных ипотекой) после смерти заемщика.</w:t>
      </w:r>
      <w:r w:rsidRPr="00F2617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Согласно требованиям статьи 1175 Гражданского кодекса РФ наследники, принявшие наследство, отвечают по долгам (в том числе кредитным) наследодателя солидарно, то есть совместно, каждый пропорционально его доле в наследстве.</w:t>
      </w:r>
      <w:r w:rsidRPr="00F2617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Статьей 1154 Гражданского кодекса РФ установлен шестимесячный срок на вступление наследников в наследство.</w:t>
      </w:r>
      <w:r w:rsidRPr="00F2617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правоприменительной практике зачастую встречаются случаи, когда наследники до момента вступления в наследство не осведомлены о кредитных долгах наследодателя. О таких долгах наследники узнают до момента принятия наследства, когда кредиторы связываются с наследниками и требуют от них оплатить кредитную задолженность в полном объеме (сумму основного долга, процентов, штрафов).</w:t>
      </w:r>
      <w:r w:rsidRPr="00F2617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После вступления в силу указанных поправок, если умерший заемщик не вернул долг или не уплатил проценты по кредиту, кредитор не сможет начислять неустойки (штрафы и пени) до момента вступления наследников в наследство.</w:t>
      </w:r>
    </w:p>
    <w:p w:rsidR="00D74B75" w:rsidRPr="002E3B03" w:rsidRDefault="00F2617C" w:rsidP="00D74B7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3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B03" w:rsidRPr="002E3B03" w:rsidRDefault="002E3B03" w:rsidP="002E3B0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03">
        <w:rPr>
          <w:rFonts w:ascii="Times New Roman" w:hAnsi="Times New Roman" w:cs="Times New Roman"/>
          <w:sz w:val="28"/>
          <w:szCs w:val="28"/>
        </w:rPr>
        <w:t>документов, а также порядок принятия решения Фондом.</w:t>
      </w:r>
    </w:p>
    <w:p w:rsidR="00C96F43" w:rsidRPr="007E29F7" w:rsidRDefault="007E29F7" w:rsidP="0032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06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226C"/>
    <w:multiLevelType w:val="multilevel"/>
    <w:tmpl w:val="9C1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201D7"/>
    <w:multiLevelType w:val="multilevel"/>
    <w:tmpl w:val="925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8672D"/>
    <w:multiLevelType w:val="multilevel"/>
    <w:tmpl w:val="D18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657C3"/>
    <w:rsid w:val="000C522E"/>
    <w:rsid w:val="00113B81"/>
    <w:rsid w:val="00131B92"/>
    <w:rsid w:val="0015786C"/>
    <w:rsid w:val="00214BFC"/>
    <w:rsid w:val="00223814"/>
    <w:rsid w:val="00243178"/>
    <w:rsid w:val="00297314"/>
    <w:rsid w:val="002C2C02"/>
    <w:rsid w:val="002D77B4"/>
    <w:rsid w:val="002E3B03"/>
    <w:rsid w:val="00321792"/>
    <w:rsid w:val="003469F7"/>
    <w:rsid w:val="00371089"/>
    <w:rsid w:val="00381778"/>
    <w:rsid w:val="003A2672"/>
    <w:rsid w:val="003A6CF8"/>
    <w:rsid w:val="003C2679"/>
    <w:rsid w:val="004C325E"/>
    <w:rsid w:val="004C561C"/>
    <w:rsid w:val="00540FA4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A3F8B"/>
    <w:rsid w:val="00A374C2"/>
    <w:rsid w:val="00AE6A90"/>
    <w:rsid w:val="00AF3A5F"/>
    <w:rsid w:val="00B01817"/>
    <w:rsid w:val="00BF08A9"/>
    <w:rsid w:val="00C36F31"/>
    <w:rsid w:val="00C96F43"/>
    <w:rsid w:val="00CB7D48"/>
    <w:rsid w:val="00D11DA6"/>
    <w:rsid w:val="00D74B75"/>
    <w:rsid w:val="00DA5CA2"/>
    <w:rsid w:val="00E22F0D"/>
    <w:rsid w:val="00E35428"/>
    <w:rsid w:val="00E709DE"/>
    <w:rsid w:val="00F2617C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5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0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5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9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2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1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86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6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3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9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2</cp:revision>
  <cp:lastPrinted>2025-11-09T13:15:00Z</cp:lastPrinted>
  <dcterms:created xsi:type="dcterms:W3CDTF">2025-11-10T06:25:00Z</dcterms:created>
  <dcterms:modified xsi:type="dcterms:W3CDTF">2025-11-10T06:25:00Z</dcterms:modified>
</cp:coreProperties>
</file>