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A2" w:rsidRPr="006E7BA2" w:rsidRDefault="006E7BA2" w:rsidP="006E7B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A2">
        <w:rPr>
          <w:rFonts w:ascii="Times New Roman" w:hAnsi="Times New Roman" w:cs="Times New Roman"/>
          <w:b/>
          <w:bCs/>
          <w:sz w:val="28"/>
          <w:szCs w:val="28"/>
        </w:rPr>
        <w:t>С 1 марта вступают в силу обновленные 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E7BA2">
        <w:rPr>
          <w:rFonts w:ascii="Times New Roman" w:hAnsi="Times New Roman" w:cs="Times New Roman"/>
          <w:b/>
          <w:bCs/>
          <w:sz w:val="28"/>
          <w:szCs w:val="28"/>
        </w:rPr>
        <w:t>тушения лесных пожаров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от 01.04.2022 № 244 утверждены Правила тушения лесных пожаров, которые вступают в силу 01.03.2023.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Данные Правила устанавливают единый подход к организации руководства работами по тушению лесных пожаров. Функции по координации всех сил и средств тушения лесных пожаров возлагаются на Федеральное агентство лесного хозяйства.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Определены требования к нормативам и критериям выделения зон контроля лесных пожаров.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Зоны контроля лесных пожаров на землях лесного фонда устанавливаются органами исполнительной власти субъектов Российской Федерации, уполномоченными в области лесных отношений, в зоне осуществления лесоавиационных работ в лесах, расположенных на труднодоступных и (или) удаленных территориях по согласованию с уполномоченным федеральным органом исполнительной власти.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Установлены условия, при которых может быть принято решение о привлечении сил и средств РСЧС муниципального уровня, регионального уровня, межрегионального и федерального уровней.</w:t>
      </w:r>
    </w:p>
    <w:p w:rsidR="00A10F91" w:rsidRPr="006E7BA2" w:rsidRDefault="00A10F91" w:rsidP="006E7BA2">
      <w:pPr>
        <w:rPr>
          <w:rFonts w:ascii="Times New Roman" w:hAnsi="Times New Roman" w:cs="Times New Roman"/>
          <w:sz w:val="28"/>
          <w:szCs w:val="28"/>
        </w:rPr>
      </w:pPr>
    </w:p>
    <w:sectPr w:rsidR="00A10F91" w:rsidRPr="006E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317993"/>
    <w:rsid w:val="006E7BA2"/>
    <w:rsid w:val="00A10F91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2</cp:revision>
  <dcterms:created xsi:type="dcterms:W3CDTF">2023-06-23T06:26:00Z</dcterms:created>
  <dcterms:modified xsi:type="dcterms:W3CDTF">2023-06-23T06:26:00Z</dcterms:modified>
</cp:coreProperties>
</file>