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Pr="00E46207" w:rsidRDefault="00355343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B25DC" w:rsidRPr="00D437B8" w:rsidRDefault="0048150A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7618C0" w:rsidRPr="00D437B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По итогам рейтинга кадастровых инженеров, работающих на территории Ярославской области, вручены благодарственные письма </w:t>
      </w:r>
    </w:p>
    <w:p w:rsidR="0048150A" w:rsidRPr="00D437B8" w:rsidRDefault="0048150A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F1052E" w:rsidRPr="00BD36B4" w:rsidRDefault="00BD36B4" w:rsidP="004815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августа 2022 года </w:t>
      </w:r>
      <w:r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50A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</w:t>
      </w:r>
      <w:proofErr w:type="spellStart"/>
      <w:r w:rsidR="0048150A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48150A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состоялся</w:t>
      </w:r>
      <w:r w:rsidR="007618C0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«деловой завтрак», посвященный профессиональному празднику «День кадастрового инженера». На мероприятии присутствовали директора департаментов Правительства Ярославской области, председатель Общественного совета при Управлении</w:t>
      </w:r>
      <w:r w:rsidR="00F1052E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проведенного Управлением </w:t>
      </w:r>
      <w:proofErr w:type="spellStart"/>
      <w:r w:rsidR="00F1052E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="00F1052E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инженеров, осуществляющих свою деятельность на территории региона, отобраны члены профессионального сообщества, имеющие высокие показатели деятельности</w:t>
      </w:r>
      <w:r w:rsidR="00D17C40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(наибольшее количество поданных заявлений при наименьшем количестве приостановлений и отказов).</w:t>
      </w:r>
    </w:p>
    <w:bookmarkEnd w:id="0"/>
    <w:p w:rsidR="00F1052E" w:rsidRPr="00BD36B4" w:rsidRDefault="00F1052E" w:rsidP="00F1052E">
      <w:pPr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7B8" w:rsidRPr="00BD36B4">
        <w:rPr>
          <w:rFonts w:ascii="Times New Roman" w:eastAsia="Times New Roman" w:hAnsi="Times New Roman" w:cs="Times New Roman"/>
          <w:iCs/>
          <w:sz w:val="28"/>
          <w:szCs w:val="28"/>
        </w:rPr>
        <w:t>Мероприятие в формате «делового завтрака» способствует живому и открытому диалогу с представителями профессионального сообщества кадастровых инженеров, с органами исполнительной власти субъекта, что необходимо при решении конкретных задач, стоящих перед участниками гражданского оборота в сфере недвижимости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», - </w:t>
      </w:r>
      <w:r w:rsidR="00D274AF"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отметила 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руководитель Управления </w:t>
      </w:r>
      <w:r w:rsidRPr="00BD36B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Елена Галеева. </w:t>
      </w:r>
    </w:p>
    <w:p w:rsidR="00F1052E" w:rsidRPr="00BD36B4" w:rsidRDefault="00F1052E" w:rsidP="00F1052E">
      <w:pPr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Председатель Общественного совета при Управлении </w:t>
      </w:r>
      <w:proofErr w:type="spellStart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</w:t>
      </w:r>
      <w:r w:rsidR="00D17C40" w:rsidRPr="00BD36B4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рославской области Антон Жуков и </w:t>
      </w:r>
      <w:proofErr w:type="spellStart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и.о</w:t>
      </w:r>
      <w:proofErr w:type="spellEnd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. заместителя руководителя Управления Сергей Бодунов вручили благодарственные письма.</w:t>
      </w:r>
    </w:p>
    <w:p w:rsidR="00D17C40" w:rsidRPr="00BD36B4" w:rsidRDefault="009D16EA" w:rsidP="00D17C40">
      <w:pPr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D437B8" w:rsidRPr="00BD36B4">
        <w:rPr>
          <w:rFonts w:ascii="Times New Roman" w:eastAsia="Times New Roman" w:hAnsi="Times New Roman" w:cs="Times New Roman"/>
          <w:iCs/>
          <w:sz w:val="28"/>
          <w:szCs w:val="28"/>
        </w:rPr>
        <w:t>Управление выводит взаимодействие с кадастровыми инженерами и департаментом на новый уровень, что позволит достичь высоких показателей деятельности и повысит инвестиционную привлекательность региона</w:t>
      </w:r>
      <w:r w:rsidR="00D274AF" w:rsidRPr="00BD36B4">
        <w:rPr>
          <w:rFonts w:ascii="Times New Roman" w:eastAsia="Times New Roman" w:hAnsi="Times New Roman" w:cs="Times New Roman"/>
          <w:iCs/>
          <w:sz w:val="28"/>
          <w:szCs w:val="28"/>
        </w:rPr>
        <w:t>», -высказалась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и.о</w:t>
      </w:r>
      <w:proofErr w:type="spellEnd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. директора департамента имущественных и земельных отношений </w:t>
      </w:r>
      <w:r w:rsidR="00D437B8"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Ярославской области </w:t>
      </w:r>
      <w:r w:rsidRPr="00BD36B4">
        <w:rPr>
          <w:rFonts w:ascii="Times New Roman" w:eastAsia="Times New Roman" w:hAnsi="Times New Roman" w:cs="Times New Roman"/>
          <w:b/>
          <w:iCs/>
          <w:sz w:val="28"/>
          <w:szCs w:val="28"/>
        </w:rPr>
        <w:t>Варвара Моисеева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4122D" w:rsidRPr="00BD36B4" w:rsidRDefault="00D17C40" w:rsidP="00341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«Получение благодарственного письма от Управления </w:t>
      </w:r>
      <w:proofErr w:type="spellStart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Ярославской области </w:t>
      </w:r>
      <w:r w:rsidR="00D17C36" w:rsidRPr="00BD36B4">
        <w:rPr>
          <w:rFonts w:ascii="Times New Roman" w:eastAsia="Times New Roman" w:hAnsi="Times New Roman" w:cs="Times New Roman"/>
          <w:iCs/>
          <w:sz w:val="28"/>
          <w:szCs w:val="28"/>
        </w:rPr>
        <w:t>рассматриваю как стимул для дальнейшего роста</w:t>
      </w:r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>, новых успехов и достижений в профессии. Сообщество кадастровых инженеров готово к сотрудничеству и развитию партнерских отношений</w:t>
      </w:r>
      <w:r w:rsidR="0034122D"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,» - поблагодарила </w:t>
      </w:r>
      <w:r w:rsidR="0034122D" w:rsidRPr="00BD36B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Вера </w:t>
      </w:r>
      <w:proofErr w:type="spellStart"/>
      <w:r w:rsidR="0034122D" w:rsidRPr="00BD36B4">
        <w:rPr>
          <w:rFonts w:ascii="Times New Roman" w:eastAsia="Times New Roman" w:hAnsi="Times New Roman" w:cs="Times New Roman"/>
          <w:b/>
          <w:iCs/>
          <w:sz w:val="28"/>
          <w:szCs w:val="28"/>
        </w:rPr>
        <w:t>Климовская</w:t>
      </w:r>
      <w:proofErr w:type="spellEnd"/>
      <w:r w:rsidRPr="00BD36B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4122D" w:rsidRPr="00BD36B4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(кадастровый инженер, директор ООО «ГК ГеоПрофПроект»).</w:t>
      </w:r>
    </w:p>
    <w:p w:rsidR="0034122D" w:rsidRPr="00D437B8" w:rsidRDefault="0034122D" w:rsidP="00341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</w:p>
    <w:p w:rsidR="00D17C40" w:rsidRPr="0034122D" w:rsidRDefault="00D17C40" w:rsidP="00D17C40">
      <w:pPr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4236C"/>
    <w:rsid w:val="00081542"/>
    <w:rsid w:val="000860F2"/>
    <w:rsid w:val="00146D59"/>
    <w:rsid w:val="001A3F44"/>
    <w:rsid w:val="001B25DC"/>
    <w:rsid w:val="00231946"/>
    <w:rsid w:val="00234469"/>
    <w:rsid w:val="00293FEF"/>
    <w:rsid w:val="002974AB"/>
    <w:rsid w:val="0034122D"/>
    <w:rsid w:val="00355343"/>
    <w:rsid w:val="003B32D9"/>
    <w:rsid w:val="003B3AB2"/>
    <w:rsid w:val="0048150A"/>
    <w:rsid w:val="004B351B"/>
    <w:rsid w:val="004D56B7"/>
    <w:rsid w:val="004F753D"/>
    <w:rsid w:val="005D7B7B"/>
    <w:rsid w:val="005E4B39"/>
    <w:rsid w:val="00617A12"/>
    <w:rsid w:val="006350E1"/>
    <w:rsid w:val="00656378"/>
    <w:rsid w:val="006C37A8"/>
    <w:rsid w:val="006D7459"/>
    <w:rsid w:val="00753A5E"/>
    <w:rsid w:val="00756338"/>
    <w:rsid w:val="007618C0"/>
    <w:rsid w:val="007C07E9"/>
    <w:rsid w:val="007E028E"/>
    <w:rsid w:val="0085016D"/>
    <w:rsid w:val="008C63CF"/>
    <w:rsid w:val="00904909"/>
    <w:rsid w:val="00923317"/>
    <w:rsid w:val="009D16EA"/>
    <w:rsid w:val="009E6CDC"/>
    <w:rsid w:val="00A83C1B"/>
    <w:rsid w:val="00AF462E"/>
    <w:rsid w:val="00B56859"/>
    <w:rsid w:val="00B7476C"/>
    <w:rsid w:val="00B945C2"/>
    <w:rsid w:val="00BB282B"/>
    <w:rsid w:val="00BD36B4"/>
    <w:rsid w:val="00BE3ECB"/>
    <w:rsid w:val="00C31A10"/>
    <w:rsid w:val="00C73928"/>
    <w:rsid w:val="00CB4469"/>
    <w:rsid w:val="00CD1E04"/>
    <w:rsid w:val="00D17C36"/>
    <w:rsid w:val="00D17C40"/>
    <w:rsid w:val="00D274AF"/>
    <w:rsid w:val="00D437B8"/>
    <w:rsid w:val="00DC7395"/>
    <w:rsid w:val="00E46207"/>
    <w:rsid w:val="00E84004"/>
    <w:rsid w:val="00F1052E"/>
    <w:rsid w:val="00F123ED"/>
    <w:rsid w:val="00F56C34"/>
    <w:rsid w:val="00F66732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8B2F-03B4-41C8-AE32-A692DB58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9</cp:revision>
  <cp:lastPrinted>2022-08-05T08:49:00Z</cp:lastPrinted>
  <dcterms:created xsi:type="dcterms:W3CDTF">2022-08-04T12:20:00Z</dcterms:created>
  <dcterms:modified xsi:type="dcterms:W3CDTF">2022-08-05T14:07:00Z</dcterms:modified>
</cp:coreProperties>
</file>