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5D" w:rsidRDefault="007F708D" w:rsidP="00A14D1B">
      <w:pPr>
        <w:tabs>
          <w:tab w:val="left" w:pos="709"/>
        </w:tabs>
        <w:spacing w:after="0" w:line="240" w:lineRule="exact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B1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14D1B" w:rsidRPr="00A14D1B" w:rsidRDefault="00A14D1B" w:rsidP="00A14D1B">
      <w:pPr>
        <w:tabs>
          <w:tab w:val="left" w:pos="709"/>
        </w:tabs>
        <w:spacing w:after="0" w:line="240" w:lineRule="exact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056" w:rsidRPr="00265056" w:rsidRDefault="00265056" w:rsidP="00A14D1B">
      <w:pPr>
        <w:pStyle w:val="aa"/>
        <w:spacing w:before="0" w:beforeAutospacing="0" w:after="0" w:afterAutospacing="0"/>
        <w:jc w:val="both"/>
        <w:rPr>
          <w:color w:val="454545"/>
          <w:sz w:val="27"/>
          <w:szCs w:val="27"/>
        </w:rPr>
      </w:pPr>
      <w:r>
        <w:rPr>
          <w:rFonts w:ascii="Arial" w:hAnsi="Arial" w:cs="Arial"/>
          <w:color w:val="454545"/>
          <w:sz w:val="27"/>
          <w:szCs w:val="27"/>
        </w:rPr>
        <w:t xml:space="preserve">                   </w:t>
      </w:r>
      <w:r w:rsidRPr="00265056">
        <w:rPr>
          <w:color w:val="454545"/>
          <w:sz w:val="27"/>
          <w:szCs w:val="27"/>
        </w:rPr>
        <w:t xml:space="preserve">ИЗМНЕНИЯ ЗАКОНОДАТЕЛЬСТВА  В СФЕРЕ ОПЛАТЫ  </w:t>
      </w:r>
    </w:p>
    <w:p w:rsidR="00A14D1B" w:rsidRPr="00265056" w:rsidRDefault="00265056" w:rsidP="00A14D1B">
      <w:pPr>
        <w:pStyle w:val="aa"/>
        <w:spacing w:before="0" w:beforeAutospacing="0" w:after="0" w:afterAutospacing="0"/>
        <w:jc w:val="both"/>
        <w:rPr>
          <w:color w:val="454545"/>
          <w:sz w:val="27"/>
          <w:szCs w:val="27"/>
        </w:rPr>
      </w:pPr>
      <w:r w:rsidRPr="00265056">
        <w:rPr>
          <w:color w:val="454545"/>
          <w:sz w:val="27"/>
          <w:szCs w:val="27"/>
        </w:rPr>
        <w:t xml:space="preserve">                                ЖИЛИЩНО-КОММУНАЛЬНЫХ УСЛУГ</w:t>
      </w:r>
    </w:p>
    <w:p w:rsidR="00265056" w:rsidRDefault="00265056" w:rsidP="00A14D1B">
      <w:pPr>
        <w:pStyle w:val="aa"/>
        <w:spacing w:before="0" w:beforeAutospacing="0" w:after="0" w:afterAutospacing="0"/>
        <w:jc w:val="both"/>
        <w:rPr>
          <w:rFonts w:ascii="Arial" w:hAnsi="Arial" w:cs="Arial"/>
          <w:color w:val="454545"/>
          <w:sz w:val="27"/>
          <w:szCs w:val="27"/>
        </w:rPr>
      </w:pPr>
    </w:p>
    <w:p w:rsidR="00A14D1B" w:rsidRPr="00A14D1B" w:rsidRDefault="00A14D1B" w:rsidP="00A14D1B">
      <w:pPr>
        <w:pStyle w:val="aa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A14D1B">
        <w:rPr>
          <w:color w:val="454545"/>
          <w:sz w:val="28"/>
          <w:szCs w:val="28"/>
        </w:rPr>
        <w:t xml:space="preserve">          Прокурор </w:t>
      </w:r>
      <w:proofErr w:type="spellStart"/>
      <w:r w:rsidRPr="00A14D1B">
        <w:rPr>
          <w:color w:val="454545"/>
          <w:sz w:val="28"/>
          <w:szCs w:val="28"/>
        </w:rPr>
        <w:t>Мышкинского</w:t>
      </w:r>
      <w:proofErr w:type="spellEnd"/>
      <w:r w:rsidRPr="00A14D1B">
        <w:rPr>
          <w:color w:val="454545"/>
          <w:sz w:val="28"/>
          <w:szCs w:val="28"/>
        </w:rPr>
        <w:t xml:space="preserve"> района Наталья Елисеева  разъясняет.</w:t>
      </w:r>
    </w:p>
    <w:p w:rsidR="00A14D1B" w:rsidRPr="00A14D1B" w:rsidRDefault="00A14D1B" w:rsidP="00A14D1B">
      <w:pPr>
        <w:pStyle w:val="aa"/>
        <w:spacing w:before="0" w:beforeAutospacing="0" w:after="0" w:afterAutospacing="0"/>
        <w:jc w:val="both"/>
        <w:rPr>
          <w:color w:val="454545"/>
          <w:sz w:val="28"/>
          <w:szCs w:val="28"/>
        </w:rPr>
      </w:pPr>
      <w:r w:rsidRPr="00A14D1B">
        <w:rPr>
          <w:color w:val="454545"/>
          <w:sz w:val="28"/>
          <w:szCs w:val="28"/>
        </w:rPr>
        <w:t xml:space="preserve">   </w:t>
      </w:r>
    </w:p>
    <w:p w:rsidR="00265056" w:rsidRPr="00265056" w:rsidRDefault="00265056" w:rsidP="00265056">
      <w:pPr>
        <w:pStyle w:val="aa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265056">
        <w:rPr>
          <w:color w:val="454545"/>
          <w:sz w:val="28"/>
          <w:szCs w:val="28"/>
        </w:rPr>
        <w:t>Вступившим в силу с 07.11.2020 Федеральным законом от 27.10.2020 № 351-ФЗ (далее – Федеральный закон № 351-ФЗ) внесены изменения в статьи 157 и 157.2 Жилищного кодекса Российской Федерации в части регулирования порядка изменения размера платы за коммунальные услуги, предоставленные с нарушением установленных требований. </w:t>
      </w:r>
      <w:r w:rsidRPr="00265056">
        <w:rPr>
          <w:color w:val="454545"/>
          <w:sz w:val="28"/>
          <w:szCs w:val="28"/>
        </w:rPr>
        <w:br/>
        <w:t xml:space="preserve">         Согласно внесенным поправкам при предоставлении коммунальных услуг с перерывами, превышающими установленную продолжительность, и (или) с нарушением качества их предоставления осуществляется изменение размера платы за коммунальные услуги в порядке, установленном Правительством Российской Федерации. Данный порядок предусмотрен разделом IX Правил предоставления коммунальных услуг собственникам и пользователям помещений в многоквартирных домах (далее – МКД) и жилых домов, утвержденных постановлением Правительства Российской Федерации от 06.05.2011 № 354.</w:t>
      </w:r>
      <w:r w:rsidRPr="00265056">
        <w:rPr>
          <w:color w:val="454545"/>
          <w:sz w:val="28"/>
          <w:szCs w:val="28"/>
        </w:rPr>
        <w:br/>
        <w:t xml:space="preserve">          Согласно указанному закону изменение размера платы осуществляется лицом, предоставляющим коммунальные услуги в соответствии с заключенным договором, в том числе управляющей организацией, товариществом собственников жилья либо жилищным кооперативом или иным специализированным потребительским кооперативом, а также </w:t>
      </w:r>
      <w:proofErr w:type="spellStart"/>
      <w:r w:rsidRPr="00265056">
        <w:rPr>
          <w:color w:val="454545"/>
          <w:sz w:val="28"/>
          <w:szCs w:val="28"/>
        </w:rPr>
        <w:t>ресурсоснабжающей</w:t>
      </w:r>
      <w:proofErr w:type="spellEnd"/>
      <w:r w:rsidRPr="00265056">
        <w:rPr>
          <w:color w:val="454545"/>
          <w:sz w:val="28"/>
          <w:szCs w:val="28"/>
        </w:rPr>
        <w:t xml:space="preserve"> организацией или региональным оператором по обращению с твердыми коммунальными отходами.</w:t>
      </w:r>
      <w:r w:rsidRPr="00265056">
        <w:rPr>
          <w:color w:val="454545"/>
          <w:sz w:val="28"/>
          <w:szCs w:val="28"/>
        </w:rPr>
        <w:br/>
        <w:t xml:space="preserve">          Федеральный закон № 351-ФЗ устанавливает, что управляющие организации и иные лица, ненадлежащим образом исполняющие обязанности по содержанию и своевременному ремонту общего имущества МКД, будут компенсировать </w:t>
      </w:r>
      <w:proofErr w:type="spellStart"/>
      <w:r w:rsidRPr="00265056">
        <w:rPr>
          <w:color w:val="454545"/>
          <w:sz w:val="28"/>
          <w:szCs w:val="28"/>
        </w:rPr>
        <w:t>ресурсоснабжающим</w:t>
      </w:r>
      <w:proofErr w:type="spellEnd"/>
      <w:r w:rsidRPr="00265056">
        <w:rPr>
          <w:color w:val="454545"/>
          <w:sz w:val="28"/>
          <w:szCs w:val="28"/>
        </w:rPr>
        <w:t xml:space="preserve"> организациям расходы, фактически понесенные ими вследствие изменения размера платы за коммунальные услуги, при условии надлежащего исполнения </w:t>
      </w:r>
      <w:proofErr w:type="spellStart"/>
      <w:r w:rsidRPr="00265056">
        <w:rPr>
          <w:color w:val="454545"/>
          <w:sz w:val="28"/>
          <w:szCs w:val="28"/>
        </w:rPr>
        <w:t>ресурсоснабжающей</w:t>
      </w:r>
      <w:proofErr w:type="spellEnd"/>
      <w:r w:rsidRPr="00265056">
        <w:rPr>
          <w:color w:val="454545"/>
          <w:sz w:val="28"/>
          <w:szCs w:val="28"/>
        </w:rPr>
        <w:t xml:space="preserve"> организацией обязанностей по поставке ресурсов, необходимых для предоставления коммунальных услуг, до границ общего имущества в МКД и границ внешних сетей инженерно-технического обеспечения данного дома.</w:t>
      </w:r>
      <w:r w:rsidRPr="00265056">
        <w:rPr>
          <w:color w:val="454545"/>
          <w:sz w:val="28"/>
          <w:szCs w:val="28"/>
        </w:rPr>
        <w:br/>
        <w:t xml:space="preserve">          При непосредственном управлении МКД собственниками помещений изменение размера платы за коммунальные услуги производит </w:t>
      </w:r>
      <w:proofErr w:type="spellStart"/>
      <w:r w:rsidRPr="00265056">
        <w:rPr>
          <w:color w:val="454545"/>
          <w:sz w:val="28"/>
          <w:szCs w:val="28"/>
        </w:rPr>
        <w:t>ресурсоснабжающая</w:t>
      </w:r>
      <w:proofErr w:type="spellEnd"/>
      <w:r w:rsidRPr="00265056">
        <w:rPr>
          <w:color w:val="454545"/>
          <w:sz w:val="28"/>
          <w:szCs w:val="28"/>
        </w:rPr>
        <w:t xml:space="preserve"> организация, если нарушения произошли до границ общего имущества в МКД и границ внешних сетей инженерно-технического обеспечения данного дома.</w:t>
      </w:r>
      <w:r w:rsidRPr="00265056">
        <w:rPr>
          <w:color w:val="454545"/>
          <w:sz w:val="28"/>
          <w:szCs w:val="28"/>
        </w:rPr>
        <w:br/>
        <w:t xml:space="preserve">Помимо этого, Министерством строительства и жилищно-коммунального хозяйства Российской Федерации обновлены критерии наличия (отсутствия) технической возможности установки индивидуального, общего </w:t>
      </w:r>
      <w:r w:rsidRPr="00265056">
        <w:rPr>
          <w:color w:val="454545"/>
          <w:sz w:val="28"/>
          <w:szCs w:val="28"/>
        </w:rPr>
        <w:lastRenderedPageBreak/>
        <w:t>(квартирного), коллективного (общедомового) приборов учета.</w:t>
      </w:r>
      <w:r w:rsidRPr="00265056">
        <w:rPr>
          <w:color w:val="454545"/>
          <w:sz w:val="28"/>
          <w:szCs w:val="28"/>
        </w:rPr>
        <w:br/>
        <w:t xml:space="preserve">         Так, вступившим в силу с 26.09.2020 приказом Министерства строительства и жилищно-коммунального хозяйства Российской Федерации от 28.08.2020 № 485/</w:t>
      </w:r>
      <w:proofErr w:type="spellStart"/>
      <w:r w:rsidRPr="00265056">
        <w:rPr>
          <w:color w:val="454545"/>
          <w:sz w:val="28"/>
          <w:szCs w:val="28"/>
        </w:rPr>
        <w:t>пр</w:t>
      </w:r>
      <w:proofErr w:type="spellEnd"/>
      <w:r w:rsidRPr="00265056">
        <w:rPr>
          <w:color w:val="454545"/>
          <w:sz w:val="28"/>
          <w:szCs w:val="28"/>
        </w:rPr>
        <w:t xml:space="preserve"> утверждены критерии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форма акта обследования на предмет установления наличия (отсутствия) технической возможности установки таких приборов учета и порядок ее заполнения.</w:t>
      </w:r>
      <w:r w:rsidRPr="00265056">
        <w:rPr>
          <w:color w:val="454545"/>
          <w:sz w:val="28"/>
          <w:szCs w:val="28"/>
        </w:rPr>
        <w:br/>
        <w:t xml:space="preserve">          Приказом определено, что техническая возможность установки прибора учета соответствующего вида в МКД, жилом доме или помещении (далее – объект) отсутствует, если в ходе обследования будет выявлено наличие хотя бы одного из критериев:</w:t>
      </w:r>
      <w:r w:rsidRPr="00265056">
        <w:rPr>
          <w:color w:val="454545"/>
          <w:sz w:val="28"/>
          <w:szCs w:val="28"/>
        </w:rPr>
        <w:br/>
        <w:t>установка прибора учета соответствующего вида по проектным характеристикам объекта невозможна без реконструкции, капитального ремонта существующих внутридомовых инженерных систем (внутриквартирного оборудования) и (или) без создания новых внутридомовых инженерных систем (внутриквартирного оборудования);</w:t>
      </w:r>
      <w:r w:rsidRPr="00265056">
        <w:rPr>
          <w:color w:val="454545"/>
          <w:sz w:val="28"/>
          <w:szCs w:val="28"/>
        </w:rPr>
        <w:br/>
        <w:t>при установке прибора учета невозможно обеспечить соблюдение обязательных метрологических и технических требований к прибору учета, в том числе к месту и порядку его установки, предъявляемых в соответствии с законодательством Российской Федерации об обеспечении единства измерений и о техническом регулировании;</w:t>
      </w:r>
      <w:r w:rsidRPr="00265056">
        <w:rPr>
          <w:color w:val="454545"/>
          <w:sz w:val="28"/>
          <w:szCs w:val="28"/>
        </w:rPr>
        <w:br/>
        <w:t>в месте, в котором подлежит установке прибор учета невозможно обеспечить соблюдение предъявляемых в соответствии с законодательством о единстве измерений обязательных требований к условиям его эксплуатации, которые необходимы для надлежащего функционирования прибора, в том числе из-за технического состояния и (или) режима работы внутридомовых инженерных систем (внутриквартирного оборудования), температурного режима, влажности, электромагнитных помех, затопления помещений, и (или) невозможно обеспечить доступ для снятия показаний прибора учета соответствующего вида, его обслуживания, замены, а в случае необходимости проведения реконструкции (ремонта) внутридомовой системы (внутриквартирного оборудования) привести их в соответствие с указанными требованиями.</w:t>
      </w:r>
      <w:r w:rsidRPr="00265056">
        <w:rPr>
          <w:color w:val="454545"/>
          <w:sz w:val="28"/>
          <w:szCs w:val="28"/>
        </w:rPr>
        <w:br/>
        <w:t xml:space="preserve">              Техническая возможность установки прибора учета тепловой энергии в помещении МКД (за исключением МКД, для которого в соответствии с Федеральным законом от 23.11.2009 № 261-ФЗ «Об энергосбережении и о повышении энергетической эффективности» установлено требование по его оснащению на дату ввода в эксплуатацию прибором учета </w:t>
      </w:r>
      <w:proofErr w:type="spellStart"/>
      <w:r w:rsidRPr="00265056">
        <w:rPr>
          <w:color w:val="454545"/>
          <w:sz w:val="28"/>
          <w:szCs w:val="28"/>
        </w:rPr>
        <w:t>теплоэнергии</w:t>
      </w:r>
      <w:proofErr w:type="spellEnd"/>
      <w:r w:rsidRPr="00265056">
        <w:rPr>
          <w:color w:val="454545"/>
          <w:sz w:val="28"/>
          <w:szCs w:val="28"/>
        </w:rPr>
        <w:t>) отсутствует, если по проектным характеристикам данный МКД имеет вертикальную разводку внутридомовых инженерных систем отопления.</w:t>
      </w:r>
      <w:r w:rsidRPr="00265056">
        <w:rPr>
          <w:color w:val="454545"/>
          <w:sz w:val="28"/>
          <w:szCs w:val="28"/>
        </w:rPr>
        <w:br/>
        <w:t xml:space="preserve">В свою очередь обследование технической возможности установки </w:t>
      </w:r>
      <w:r w:rsidRPr="00265056">
        <w:rPr>
          <w:color w:val="454545"/>
          <w:sz w:val="28"/>
          <w:szCs w:val="28"/>
        </w:rPr>
        <w:lastRenderedPageBreak/>
        <w:t>коллективного (общедомового) прибора учета электрической энергии МКД осуществляется представителями гарантирующего поставщика, а обследование технической возможности установки прибора учета электроэнергии в отношении индивидуального жилого дома – представителями сетевой организации.</w:t>
      </w:r>
      <w:r w:rsidRPr="00265056">
        <w:rPr>
          <w:color w:val="454545"/>
          <w:sz w:val="28"/>
          <w:szCs w:val="28"/>
        </w:rPr>
        <w:br/>
        <w:t xml:space="preserve">            С 26.09.2020 ранее использовавшийся в указанной сфере приказ Министерства регионального развития Российской Федерации от 29.12.2011 № 627 применению не подлежит. </w:t>
      </w:r>
    </w:p>
    <w:p w:rsidR="00A14D1B" w:rsidRPr="00265056" w:rsidRDefault="00A14D1B" w:rsidP="00A14D1B">
      <w:pPr>
        <w:pStyle w:val="aa"/>
        <w:spacing w:before="0" w:beforeAutospacing="0" w:after="0" w:afterAutospacing="0"/>
        <w:jc w:val="both"/>
        <w:rPr>
          <w:color w:val="454545"/>
          <w:sz w:val="28"/>
          <w:szCs w:val="28"/>
        </w:rPr>
      </w:pPr>
    </w:p>
    <w:p w:rsidR="00566E5D" w:rsidRDefault="00566E5D" w:rsidP="0056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66E5D" w:rsidRDefault="00566E5D" w:rsidP="00566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 советник юстиции                                                      Н.М. Елисеева  </w:t>
      </w:r>
    </w:p>
    <w:sectPr w:rsidR="00566E5D" w:rsidSect="00C3321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E2" w:rsidRDefault="00F471E2" w:rsidP="00C33214">
      <w:pPr>
        <w:spacing w:after="0" w:line="240" w:lineRule="auto"/>
      </w:pPr>
      <w:r>
        <w:separator/>
      </w:r>
    </w:p>
  </w:endnote>
  <w:endnote w:type="continuationSeparator" w:id="0">
    <w:p w:rsidR="00F471E2" w:rsidRDefault="00F471E2" w:rsidP="00C3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E2" w:rsidRDefault="00F471E2" w:rsidP="00C33214">
      <w:pPr>
        <w:spacing w:after="0" w:line="240" w:lineRule="auto"/>
      </w:pPr>
      <w:r>
        <w:separator/>
      </w:r>
    </w:p>
  </w:footnote>
  <w:footnote w:type="continuationSeparator" w:id="0">
    <w:p w:rsidR="00F471E2" w:rsidRDefault="00F471E2" w:rsidP="00C3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080702"/>
      <w:docPartObj>
        <w:docPartGallery w:val="Page Numbers (Top of Page)"/>
        <w:docPartUnique/>
      </w:docPartObj>
    </w:sdtPr>
    <w:sdtEndPr/>
    <w:sdtContent>
      <w:p w:rsidR="00C33214" w:rsidRDefault="00C332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3F0">
          <w:rPr>
            <w:noProof/>
          </w:rPr>
          <w:t>2</w:t>
        </w:r>
        <w:r>
          <w:fldChar w:fldCharType="end"/>
        </w:r>
      </w:p>
    </w:sdtContent>
  </w:sdt>
  <w:p w:rsidR="00C33214" w:rsidRDefault="00C332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00FD"/>
    <w:multiLevelType w:val="multilevel"/>
    <w:tmpl w:val="54A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F6492"/>
    <w:multiLevelType w:val="multilevel"/>
    <w:tmpl w:val="27BE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3136"/>
    <w:multiLevelType w:val="multilevel"/>
    <w:tmpl w:val="2CCE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14"/>
    <w:rsid w:val="00090ED1"/>
    <w:rsid w:val="001407D6"/>
    <w:rsid w:val="00170CB6"/>
    <w:rsid w:val="001B7D7E"/>
    <w:rsid w:val="001D6FBE"/>
    <w:rsid w:val="00265056"/>
    <w:rsid w:val="002665AC"/>
    <w:rsid w:val="002A086B"/>
    <w:rsid w:val="003162AE"/>
    <w:rsid w:val="00331B2E"/>
    <w:rsid w:val="00367942"/>
    <w:rsid w:val="005131C7"/>
    <w:rsid w:val="00566E5D"/>
    <w:rsid w:val="005879BD"/>
    <w:rsid w:val="005B753D"/>
    <w:rsid w:val="00633C34"/>
    <w:rsid w:val="0071114B"/>
    <w:rsid w:val="00775A58"/>
    <w:rsid w:val="007F708D"/>
    <w:rsid w:val="00827016"/>
    <w:rsid w:val="008C230F"/>
    <w:rsid w:val="00A14D1B"/>
    <w:rsid w:val="00B17418"/>
    <w:rsid w:val="00C33214"/>
    <w:rsid w:val="00C37702"/>
    <w:rsid w:val="00D013F0"/>
    <w:rsid w:val="00D061C4"/>
    <w:rsid w:val="00DB38AF"/>
    <w:rsid w:val="00DE7442"/>
    <w:rsid w:val="00E334F6"/>
    <w:rsid w:val="00E65A06"/>
    <w:rsid w:val="00F471E2"/>
    <w:rsid w:val="00F75787"/>
    <w:rsid w:val="00FA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  <w:style w:type="character" w:customStyle="1" w:styleId="21">
    <w:name w:val="Дата2"/>
    <w:basedOn w:val="a0"/>
    <w:rsid w:val="00265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  <w:style w:type="character" w:customStyle="1" w:styleId="21">
    <w:name w:val="Дата2"/>
    <w:basedOn w:val="a0"/>
    <w:rsid w:val="0026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RePack by Diakov</cp:lastModifiedBy>
  <cp:revision>2</cp:revision>
  <cp:lastPrinted>2020-03-30T07:02:00Z</cp:lastPrinted>
  <dcterms:created xsi:type="dcterms:W3CDTF">2020-12-09T11:32:00Z</dcterms:created>
  <dcterms:modified xsi:type="dcterms:W3CDTF">2020-12-09T11:32:00Z</dcterms:modified>
</cp:coreProperties>
</file>