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C9" w:rsidRPr="00094DD7" w:rsidRDefault="004B1CC9" w:rsidP="004B1CC9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Приказ МЧС России от 26 января 2016 г. № 26 "Об утверждении Порядка использования открытого огня и разведения костров на землях сельскохозяйственного назначения и землях запаса” (не вступил в силу)</w:t>
      </w:r>
    </w:p>
    <w:p w:rsidR="004B1CC9" w:rsidRPr="00094DD7" w:rsidRDefault="004B1CC9" w:rsidP="004B1CC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марта 2016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0"/>
      <w:bookmarkEnd w:id="0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218 Правил противопожарного режима в Российской Федерации, утвержденных постановлением Правительства Российской Федерации от 25 апреля 2012 г. № 390</w:t>
      </w:r>
      <w:hyperlink r:id="rId4" w:anchor="111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приказываю: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 </w:t>
      </w:r>
      <w:hyperlink r:id="rId5" w:anchor="1000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использования открытого огня и разведения костров на землях сельскохозяйственного назначения и землях запаса.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08"/>
      </w:tblGrid>
      <w:tr w:rsidR="004B1CC9" w:rsidRPr="00094DD7" w:rsidTr="004B1CC9">
        <w:tc>
          <w:tcPr>
            <w:tcW w:w="2500" w:type="pct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 Пучков</w:t>
            </w:r>
          </w:p>
        </w:tc>
      </w:tr>
    </w:tbl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Собрание законодательства Российской Федерации, 2012, № 19, ст. 2415; 2015, № 46, ст. 6397.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РФ 4 марта 2016 г. </w:t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Регистрационный № 41317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 </w:t>
      </w:r>
      <w:hyperlink r:id="rId6" w:anchor="0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приказу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МЧС России</w:t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26 января 2016 г. № 26</w:t>
      </w:r>
    </w:p>
    <w:p w:rsidR="004B1CC9" w:rsidRPr="00094DD7" w:rsidRDefault="004B1CC9" w:rsidP="004B1CC9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</w:t>
      </w:r>
      <w:r w:rsidRPr="00094D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использования открытого огня и разведения костров на землях сельскохозяйственного назначения и землях запаса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</w:t>
      </w:r>
      <w:proofErr w:type="gramStart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 </w:t>
      </w:r>
      <w:hyperlink r:id="rId7" w:anchor="1022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подпунктами «б»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8" w:anchor="1023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«в» пункта 2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 могут быть уменьшены вдвое. При этом устройство противопожарной минерализованной полосы не требуется.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использовании открытого огня и разведения костров для приготовления пищи в специальных несгораемых емкостях (</w:t>
      </w:r>
      <w:proofErr w:type="gramStart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 </w:t>
      </w:r>
      <w:hyperlink r:id="rId9" w:anchor="1100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приложением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настоящему Порядку.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 увеличении диаметра зоны очага горения должны быть выполнены требования </w:t>
      </w:r>
      <w:hyperlink r:id="rId10" w:anchor="1002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пункта 2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 645 (зарегистрирован Минюстом России 21.01.2008, регистрационный № 10938)</w:t>
      </w:r>
      <w:hyperlink r:id="rId11" w:anchor="1111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Использование открытого огня запрещается: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торфяных почвах;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установлении на соответствующей территории особого противопожарного режима;</w:t>
      </w:r>
      <w:bookmarkStart w:id="1" w:name="_GoBack"/>
      <w:bookmarkEnd w:id="1"/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кронами деревьев хвойных пород;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процессе использования открытого огня запрещается: осуществлять сжигание горючих и легковоспламеняющихся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С изменениями, внесенными приказами МЧС России от 27.01.2009 (зарегистрирован Минюстом России 25.02.2009, регистрационный № 13429) и от 22.06.2010 № 289 (зарегистрирован Минюстом России 16.07.2010, регистрационный № 17880)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 </w:t>
      </w:r>
      <w:hyperlink r:id="rId12" w:anchor="1000" w:history="1">
        <w:r w:rsidRPr="00094DD7">
          <w:rPr>
            <w:rFonts w:ascii="Arial" w:eastAsia="Times New Roman" w:hAnsi="Arial" w:cs="Arial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Порядку</w:t>
        </w:r>
      </w:hyperlink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использования открытого</w:t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 и разведения костров на землях</w:t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сельскохозяйственного назначения</w:t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землях запаса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5"/>
        <w:gridCol w:w="270"/>
        <w:gridCol w:w="330"/>
        <w:gridCol w:w="270"/>
        <w:gridCol w:w="330"/>
        <w:gridCol w:w="270"/>
      </w:tblGrid>
      <w:tr w:rsidR="004B1CC9" w:rsidRPr="00094DD7" w:rsidTr="004B1CC9"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B1CC9" w:rsidRPr="00094DD7" w:rsidTr="004B1CC9"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B1CC9" w:rsidRPr="00094DD7" w:rsidRDefault="004B1CC9" w:rsidP="004B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B1CC9" w:rsidRPr="00094DD7" w:rsidRDefault="004B1CC9" w:rsidP="004B1CC9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094DD7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lastRenderedPageBreak/>
        <w:t>Обзор документа</w:t>
      </w:r>
    </w:p>
    <w:p w:rsidR="004B1CC9" w:rsidRPr="00094DD7" w:rsidRDefault="00094DD7" w:rsidP="004B1CC9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 обязательные требования пожарной безопасности к использованию открытого огня и разведению костров на землях с/х назначения и землях запаса.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открытого огня должно осуществляться в специально оборудованных местах при выполнении определенных требований. Так, в частности, место использования открытого огня должно быть выполнено в виде котлована (ямы, рва) не менее 0,3 м глубиной и не более 1 м в диаметре; оно должно располагаться не ближе 50 м от ближайшего объекта, 100 м - от хвойного леса (отдельных хвойных деревьев) и 30 м - от лиственного леса (отдельных групп лиственных деревьев) и </w:t>
      </w:r>
      <w:proofErr w:type="spellStart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своевременной локализации горения емкость для сжигания мусора должна быть с металлическим листом. Его размер должен позволять полностью закрыть емкость сверху.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уничтожении сухой травянистой растительности, стерни, пожнивных остатков и иных горючих отходов допускается увеличивать диаметр очага горения до 3 м.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всего периода использования открытого огня до прекращения тления должен осуществляться контроль за нераспространением горения (тления) за пределы очаговой зоны.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Определены случаи, когда использование открытого огня запрещено: на торфяных почвах; при установлении особого противопожарного режима; под кронами деревьев хвойных пород; в емкости, стенки которой имеют огненный сквозной прогар и </w:t>
      </w:r>
      <w:proofErr w:type="spellStart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B1CC9" w:rsidRPr="00094DD7" w:rsidRDefault="004B1CC9" w:rsidP="004B1CC9">
      <w:pPr>
        <w:spacing w:after="25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704E2A" w:rsidRPr="00094DD7" w:rsidRDefault="004B1CC9" w:rsidP="004B1CC9">
      <w:pPr>
        <w:rPr>
          <w:sz w:val="24"/>
          <w:szCs w:val="24"/>
        </w:rPr>
      </w:pP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ГАРАНТ.РУ: </w:t>
      </w:r>
      <w:hyperlink r:id="rId13" w:anchor="ixzz4eZza6ELD" w:history="1">
        <w:r w:rsidRPr="00094DD7">
          <w:rPr>
            <w:rFonts w:ascii="Arial" w:eastAsia="Times New Roman" w:hAnsi="Arial" w:cs="Arial"/>
            <w:color w:val="003399"/>
            <w:sz w:val="24"/>
            <w:szCs w:val="24"/>
            <w:u w:val="single"/>
            <w:bdr w:val="none" w:sz="0" w:space="0" w:color="auto" w:frame="1"/>
            <w:lang w:eastAsia="ru-RU"/>
          </w:rPr>
          <w:t>http://www.garant.ru/products/ipo/prime/doc/71247022/#ixzz4eZza6ELD</w:t>
        </w:r>
      </w:hyperlink>
    </w:p>
    <w:sectPr w:rsidR="00704E2A" w:rsidRPr="0009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3"/>
    <w:rsid w:val="00094DD7"/>
    <w:rsid w:val="004B1CC9"/>
    <w:rsid w:val="00704E2A"/>
    <w:rsid w:val="00A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151A-9166-4084-B083-C9586B1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7022/" TargetMode="External"/><Relationship Id="rId13" Type="http://schemas.openxmlformats.org/officeDocument/2006/relationships/hyperlink" Target="http://www.garant.ru/products/ipo/prime/doc/712470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247022/" TargetMode="External"/><Relationship Id="rId12" Type="http://schemas.openxmlformats.org/officeDocument/2006/relationships/hyperlink" Target="http://www.garant.ru/products/ipo/prime/doc/71247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247022/" TargetMode="External"/><Relationship Id="rId11" Type="http://schemas.openxmlformats.org/officeDocument/2006/relationships/hyperlink" Target="http://www.garant.ru/products/ipo/prime/doc/71247022/" TargetMode="External"/><Relationship Id="rId5" Type="http://schemas.openxmlformats.org/officeDocument/2006/relationships/hyperlink" Target="http://www.garant.ru/products/ipo/prime/doc/712470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1247022/" TargetMode="External"/><Relationship Id="rId4" Type="http://schemas.openxmlformats.org/officeDocument/2006/relationships/hyperlink" Target="http://www.garant.ru/products/ipo/prime/doc/71247022/" TargetMode="External"/><Relationship Id="rId9" Type="http://schemas.openxmlformats.org/officeDocument/2006/relationships/hyperlink" Target="http://www.garant.ru/products/ipo/prime/doc/712470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2017-04-18T06:22:00Z</dcterms:created>
  <dcterms:modified xsi:type="dcterms:W3CDTF">2018-10-26T06:05:00Z</dcterms:modified>
</cp:coreProperties>
</file>