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1" w:rsidRPr="000C7611" w:rsidRDefault="000C7611" w:rsidP="000C7611">
      <w:pPr>
        <w:shd w:val="clear" w:color="auto" w:fill="E8E6DE"/>
        <w:spacing w:after="150" w:line="240" w:lineRule="auto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«Противодействие коррупции, судебная практика»</w:t>
      </w:r>
    </w:p>
    <w:p w:rsidR="000C7611" w:rsidRPr="000C7611" w:rsidRDefault="000C7611" w:rsidP="000C7611">
      <w:pPr>
        <w:shd w:val="clear" w:color="auto" w:fill="E8E6DE"/>
        <w:spacing w:after="150" w:line="240" w:lineRule="auto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При приеме на работу </w:t>
      </w:r>
      <w:proofErr w:type="spell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экс-чиновников</w:t>
      </w:r>
      <w:proofErr w:type="spell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работодателю необходимо выполнить требования статьи 64.1 Трудового кодекса Российской Федерации и статьи 12 Федерального закона от 25 декабря 2008 г. N 273-ФЗ "О противодействии коррупции".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 частью 1 статьи 12 Федерального закона от 25 декабря 2008 г. N 273-ФЗ "О противодействии коррупции" и частью 1 статьи 64.1 Трудового кодекса Российской Федерации гражданин, замещавший должность государственной или муниципальной службы, включенную в перечень, установленный </w:t>
      </w:r>
      <w:hyperlink r:id="rId4" w:anchor="/document/198780/entry/1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нормативными правовыми актами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Российской Федерации, в течение двух лет после увольнения с государственной или муниципальной службы имеет право замещать на условиях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</w:t>
      </w: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 </w:t>
      </w:r>
      <w:hyperlink r:id="rId5" w:anchor="/document/5425853/entry/0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комиссии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по соблюдению требований к служебному поведению государственных или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муниципальных служащих и урегулированию конфликта интересов. 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Гражданин, замещавший должности государственной или муниципальной службы, перечень которых устанавливается </w:t>
      </w:r>
      <w:hyperlink r:id="rId6" w:anchor="/document/5753999/entry/0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нормативными правовыми актами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 </w:t>
      </w:r>
      <w:hyperlink r:id="rId7" w:anchor="/document/12164203/entry/1201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части 1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вышеперечисленных  статей, сообщать работодателю сведения о последнем месте своей службы.</w:t>
      </w:r>
      <w:proofErr w:type="gramEnd"/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 требованиями части 4 статьи 12 Федерального закона от 25 декабря 2008 г. N 273-ФЗ "О противодействии коррупции" и частью 3 статьи 64.1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  первой части вышеуказанных ном</w:t>
      </w: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,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с гражданином, замещавшим должности государственной или муниципальной службы, перечень которых устанавливается </w:t>
      </w:r>
      <w:hyperlink r:id="rId8" w:anchor="/document/198780/entry/0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нормативными правовыми актами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 </w:t>
      </w:r>
      <w:hyperlink r:id="rId9" w:anchor="/document/70851170/entry/1000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порядке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устанавливаемом нормативными правовыми актами Российской Федерации.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hyperlink r:id="rId10" w:anchor="/document/70851170/entry/1000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Правила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</w:t>
      </w: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–П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равила),  утверждены  постановлением Правительства РФ от 21 января 2015 г. N 29.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 требованиями данных Правил работодатель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Подпись работодателя заверяется печатью организации или печатью кадровой службы (при наличии печатей).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Согласно пункта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5 Правил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б) число, месяц, год и место рождения гражданина;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г) наименование организации (полное, а также сокращенное (при наличии).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случае если с гражданином заключен трудовой договор, наряду со сведениями, указанными в </w:t>
      </w:r>
      <w:hyperlink r:id="rId11" w:anchor="/document/70851170/entry/1005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пункте 5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настоящих Правил, также указываются следующие данные: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случае если с гражданином заключен гражданско-правовой договор, наряду со сведениями, указанными в </w:t>
      </w:r>
      <w:hyperlink r:id="rId12" w:anchor="/document/70851170/entry/1005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пункте 5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настоящих Правил, также указываются следующие данные: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а) дата и номер гражданско-правового договора;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г) стоимость работ (услуг) по гражданско-правовому договору.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Вышеуказанные требования действующего законодательства ранее доводились до сведения работодателей путем размещения информации на сайтах органов местного самоуправления муниципальных образований района.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Дополнительно напоминаем об этом в связи с постановлением Верховного Суда Российской Федерации от 6 июля 2018 г. N 32-АД18-3.  Компания нарушила требования к содержанию сообщения, что обернулось для нее </w:t>
      </w:r>
      <w:hyperlink r:id="rId13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штрафом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в размере 100 тыс. руб.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Верховный Суд  Российской Федерации оставил наказание в силе, выяснив, что организация не указала в документе:   место рождения работника и его должностные обязанности.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Хотя компания </w:t>
      </w:r>
      <w:hyperlink r:id="rId14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утверждала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что эти сведения были в приложениях, довод не подтвердился. Да и правила </w:t>
      </w:r>
      <w:hyperlink r:id="rId15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требуют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включать такие данные в сам текст сообщения.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Полагаю необходимым отметить, что согласно пункта 14 Постановления Пленума Верховного Суда Российской Федерации от 28.11.2017 г. №45 «О некоторых вопросах, возникающих при 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правонарушениях, в случае, когда административное правонарушение, предусмотренное </w:t>
      </w:r>
      <w:hyperlink r:id="rId16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статьей 19.29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  <w:proofErr w:type="spellStart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КоАП</w:t>
      </w:r>
      <w:proofErr w:type="spell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РФ, не является существенным нарушением охраняемых общественных отношений в сфере противодействия коррупции</w:t>
      </w:r>
      <w:proofErr w:type="gramEnd"/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 </w:t>
      </w:r>
      <w:hyperlink r:id="rId17" w:history="1">
        <w:r w:rsidRPr="000C7611">
          <w:rPr>
            <w:rFonts w:ascii="Tahoma" w:eastAsia="Times New Roman" w:hAnsi="Tahoma" w:cs="Tahoma"/>
            <w:sz w:val="18"/>
            <w:u w:val="single"/>
            <w:lang w:eastAsia="ru-RU"/>
          </w:rPr>
          <w:t>закона</w:t>
        </w:r>
      </w:hyperlink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"О противодействии коррупции" информации), данное административное правонарушение может быть признано малозначительным.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Исходя из норм постановления Верховного Суда Российской Федерации от 6 июля 2018 г. N 32-АД18-3, работодателям следует детально соблюдать все требования к сообщению.  </w:t>
      </w:r>
    </w:p>
    <w:p w:rsidR="000C7611" w:rsidRPr="000C7611" w:rsidRDefault="000C7611" w:rsidP="000C7611">
      <w:pPr>
        <w:shd w:val="clear" w:color="auto" w:fill="E8E6DE"/>
        <w:spacing w:after="150" w:line="240" w:lineRule="auto"/>
        <w:ind w:firstLine="720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0C7611" w:rsidRPr="000C7611" w:rsidRDefault="000C7611" w:rsidP="000C7611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0C7611" w:rsidRPr="000C7611" w:rsidRDefault="000C7611" w:rsidP="000C7611">
      <w:pPr>
        <w:spacing w:after="0" w:line="240" w:lineRule="auto"/>
        <w:jc w:val="right"/>
        <w:rPr>
          <w:rFonts w:ascii="Tahoma" w:eastAsia="Times New Roman" w:hAnsi="Tahoma" w:cs="Tahoma"/>
          <w:color w:val="404040"/>
          <w:sz w:val="24"/>
          <w:szCs w:val="24"/>
          <w:shd w:val="clear" w:color="auto" w:fill="E8E6DE"/>
          <w:lang w:eastAsia="ru-RU"/>
        </w:rPr>
      </w:pPr>
      <w:r w:rsidRPr="000C7611">
        <w:rPr>
          <w:rFonts w:ascii="Tahoma" w:eastAsia="Times New Roman" w:hAnsi="Tahoma" w:cs="Tahoma"/>
          <w:color w:val="404040"/>
          <w:sz w:val="24"/>
          <w:szCs w:val="24"/>
          <w:shd w:val="clear" w:color="auto" w:fill="E8E6DE"/>
          <w:lang w:eastAsia="ru-RU"/>
        </w:rPr>
        <w:t>Помощник прокурора района   Е.В.Голикова</w:t>
      </w:r>
    </w:p>
    <w:p w:rsidR="00912A84" w:rsidRDefault="00912A84"/>
    <w:sectPr w:rsidR="00912A84" w:rsidSect="0091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11"/>
    <w:rsid w:val="000C7611"/>
    <w:rsid w:val="0091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main?base=LAW;n=304199;dst=30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45943EE625BA390D89F9782EF15932465C5E4F358F096C7FD4B6D00E7CZCq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943EE625BA390D89F9782EF15932465C5E4F3686046C7FD4B6D00E7CC98845479D8E29A88BZBq6I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consultantplus://offline/ref=main?base=LAW;n=203192;dst=100014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main?base=ARB;n=548036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7229</Characters>
  <Application>Microsoft Office Word</Application>
  <DocSecurity>0</DocSecurity>
  <Lines>60</Lines>
  <Paragraphs>16</Paragraphs>
  <ScaleCrop>false</ScaleCrop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2018-11-21T07:02:00Z</dcterms:created>
  <dcterms:modified xsi:type="dcterms:W3CDTF">2018-11-21T07:02:00Z</dcterms:modified>
</cp:coreProperties>
</file>